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11" w:rsidRPr="00C54668" w:rsidRDefault="00B60B11" w:rsidP="00B60B11">
      <w:pPr>
        <w:jc w:val="center"/>
        <w:rPr>
          <w:rFonts w:asciiTheme="minorEastAsia" w:hAnsiTheme="minorEastAsia"/>
          <w:sz w:val="36"/>
          <w:szCs w:val="36"/>
        </w:rPr>
      </w:pPr>
      <w:r w:rsidRPr="00C54668">
        <w:rPr>
          <w:rFonts w:asciiTheme="minorEastAsia" w:hAnsiTheme="minorEastAsia" w:hint="eastAsia"/>
          <w:b/>
          <w:sz w:val="36"/>
          <w:szCs w:val="36"/>
        </w:rPr>
        <w:t>表C2.7.6  安全技术交底</w:t>
      </w:r>
    </w:p>
    <w:p w:rsidR="00B60B11" w:rsidRPr="00C54668" w:rsidRDefault="00B60B11" w:rsidP="00B60B11">
      <w:pPr>
        <w:ind w:firstLineChars="3500" w:firstLine="7350"/>
        <w:rPr>
          <w:rFonts w:asciiTheme="minorEastAsia" w:hAnsiTheme="minorEastAsia"/>
        </w:rPr>
      </w:pPr>
      <w:r w:rsidRPr="00C54668">
        <w:rPr>
          <w:rFonts w:asciiTheme="minorEastAsia" w:hAnsiTheme="minorEastAsia" w:hint="eastAsia"/>
        </w:rPr>
        <w:t>编号：</w:t>
      </w:r>
    </w:p>
    <w:tbl>
      <w:tblPr>
        <w:tblStyle w:val="a3"/>
        <w:tblW w:w="9498" w:type="dxa"/>
        <w:tblInd w:w="-459" w:type="dxa"/>
        <w:tblLook w:val="04A0"/>
      </w:tblPr>
      <w:tblGrid>
        <w:gridCol w:w="1560"/>
        <w:gridCol w:w="444"/>
        <w:gridCol w:w="1824"/>
        <w:gridCol w:w="567"/>
        <w:gridCol w:w="992"/>
        <w:gridCol w:w="1549"/>
        <w:gridCol w:w="2562"/>
      </w:tblGrid>
      <w:tr w:rsidR="00B60B11" w:rsidRPr="00C54668" w:rsidTr="00D02BF2">
        <w:trPr>
          <w:trHeight w:val="897"/>
        </w:trPr>
        <w:tc>
          <w:tcPr>
            <w:tcW w:w="2004" w:type="dxa"/>
            <w:gridSpan w:val="2"/>
          </w:tcPr>
          <w:p w:rsidR="00B60B11" w:rsidRPr="00C54668" w:rsidRDefault="00B60B11" w:rsidP="00D02BF2">
            <w:pPr>
              <w:spacing w:line="720" w:lineRule="auto"/>
              <w:jc w:val="center"/>
              <w:rPr>
                <w:rFonts w:asciiTheme="minorEastAsia" w:hAnsiTheme="minorEastAsia"/>
                <w:sz w:val="24"/>
                <w:szCs w:val="24"/>
              </w:rPr>
            </w:pPr>
            <w:r w:rsidRPr="00C54668">
              <w:rPr>
                <w:rFonts w:asciiTheme="minorEastAsia" w:hAnsiTheme="minorEastAsia" w:hint="eastAsia"/>
                <w:sz w:val="24"/>
                <w:szCs w:val="24"/>
              </w:rPr>
              <w:t>工程名称</w:t>
            </w:r>
          </w:p>
        </w:tc>
        <w:tc>
          <w:tcPr>
            <w:tcW w:w="2391" w:type="dxa"/>
            <w:gridSpan w:val="2"/>
          </w:tcPr>
          <w:p w:rsidR="00B60B11" w:rsidRPr="00C54668" w:rsidRDefault="00B60B11" w:rsidP="00622CCD">
            <w:pPr>
              <w:spacing w:line="360" w:lineRule="auto"/>
              <w:jc w:val="center"/>
              <w:rPr>
                <w:rFonts w:asciiTheme="minorEastAsia" w:hAnsiTheme="minorEastAsia"/>
              </w:rPr>
            </w:pPr>
            <w:r w:rsidRPr="00C54668">
              <w:rPr>
                <w:rFonts w:asciiTheme="minorEastAsia" w:hAnsiTheme="minorEastAsia" w:hint="eastAsia"/>
              </w:rPr>
              <w:t>祁县田森汇</w:t>
            </w:r>
          </w:p>
          <w:p w:rsidR="00B60B11" w:rsidRPr="00C54668" w:rsidRDefault="00B60B11" w:rsidP="00622CCD">
            <w:pPr>
              <w:spacing w:line="360" w:lineRule="auto"/>
              <w:jc w:val="center"/>
              <w:rPr>
                <w:rFonts w:asciiTheme="minorEastAsia" w:hAnsiTheme="minorEastAsia"/>
              </w:rPr>
            </w:pPr>
            <w:r w:rsidRPr="00C54668">
              <w:rPr>
                <w:rFonts w:asciiTheme="minorEastAsia" w:hAnsiTheme="minorEastAsia" w:hint="eastAsia"/>
              </w:rPr>
              <w:t>建筑安装工程</w:t>
            </w:r>
          </w:p>
        </w:tc>
        <w:tc>
          <w:tcPr>
            <w:tcW w:w="2541" w:type="dxa"/>
            <w:gridSpan w:val="2"/>
          </w:tcPr>
          <w:p w:rsidR="00B60B11" w:rsidRPr="00C54668" w:rsidRDefault="00B60B11" w:rsidP="00D02BF2">
            <w:pPr>
              <w:spacing w:line="720" w:lineRule="auto"/>
              <w:ind w:firstLineChars="50" w:firstLine="120"/>
              <w:jc w:val="center"/>
              <w:rPr>
                <w:rFonts w:asciiTheme="minorEastAsia" w:hAnsiTheme="minorEastAsia"/>
                <w:sz w:val="24"/>
                <w:szCs w:val="24"/>
              </w:rPr>
            </w:pPr>
            <w:r w:rsidRPr="00C54668">
              <w:rPr>
                <w:rFonts w:asciiTheme="minorEastAsia" w:hAnsiTheme="minorEastAsia" w:hint="eastAsia"/>
                <w:sz w:val="24"/>
                <w:szCs w:val="24"/>
              </w:rPr>
              <w:t>分部分项工程名称</w:t>
            </w:r>
          </w:p>
        </w:tc>
        <w:tc>
          <w:tcPr>
            <w:tcW w:w="2562" w:type="dxa"/>
          </w:tcPr>
          <w:p w:rsidR="00B60B11" w:rsidRPr="00C54668" w:rsidRDefault="00B60B11" w:rsidP="00D02BF2">
            <w:pPr>
              <w:rPr>
                <w:rFonts w:asciiTheme="minorEastAsia" w:hAnsiTheme="minorEastAsia"/>
              </w:rPr>
            </w:pPr>
            <w:r>
              <w:rPr>
                <w:rFonts w:asciiTheme="minorEastAsia" w:hAnsiTheme="minorEastAsia" w:hint="eastAsia"/>
              </w:rPr>
              <w:t>钢筋</w:t>
            </w:r>
            <w:r w:rsidRPr="00C54668">
              <w:rPr>
                <w:rFonts w:asciiTheme="minorEastAsia" w:hAnsiTheme="minorEastAsia" w:hint="eastAsia"/>
              </w:rPr>
              <w:t>工程</w:t>
            </w:r>
          </w:p>
        </w:tc>
      </w:tr>
      <w:tr w:rsidR="00B60B11" w:rsidRPr="00C54668" w:rsidTr="00D02BF2">
        <w:trPr>
          <w:trHeight w:val="10162"/>
        </w:trPr>
        <w:tc>
          <w:tcPr>
            <w:tcW w:w="9498" w:type="dxa"/>
            <w:gridSpan w:val="7"/>
          </w:tcPr>
          <w:p w:rsidR="00B60B11" w:rsidRPr="00C54668" w:rsidRDefault="00B60B11" w:rsidP="00D02BF2">
            <w:pPr>
              <w:spacing w:line="360" w:lineRule="auto"/>
              <w:rPr>
                <w:rFonts w:asciiTheme="minorEastAsia" w:hAnsiTheme="minorEastAsia"/>
              </w:rPr>
            </w:pPr>
            <w:r w:rsidRPr="00C54668">
              <w:rPr>
                <w:rFonts w:asciiTheme="minorEastAsia" w:hAnsiTheme="minorEastAsia" w:hint="eastAsia"/>
              </w:rPr>
              <w:t>交底内容：</w:t>
            </w:r>
            <w:r w:rsidR="00622CCD">
              <w:rPr>
                <w:rFonts w:asciiTheme="minorEastAsia" w:hAnsiTheme="minorEastAsia" w:hint="eastAsia"/>
              </w:rPr>
              <w:t xml:space="preserve">                  </w:t>
            </w:r>
            <w:r w:rsidR="00622CCD" w:rsidRPr="00622CCD">
              <w:rPr>
                <w:rFonts w:asciiTheme="minorEastAsia" w:hAnsiTheme="minorEastAsia" w:hint="eastAsia"/>
                <w:b/>
              </w:rPr>
              <w:t>电动建筑机械用电安全技术交底</w:t>
            </w:r>
          </w:p>
          <w:p w:rsidR="00AC429D" w:rsidRPr="00AC429D" w:rsidRDefault="00AC429D" w:rsidP="00AC429D">
            <w:pPr>
              <w:rPr>
                <w:rFonts w:asciiTheme="minorEastAsia" w:hAnsiTheme="minorEastAsia"/>
              </w:rPr>
            </w:pPr>
            <w:r w:rsidRPr="00AC429D">
              <w:rPr>
                <w:rFonts w:asciiTheme="minorEastAsia" w:hAnsiTheme="minorEastAsia" w:hint="eastAsia"/>
              </w:rPr>
              <w:t>1．施工现场中一切电动建筑机械和手持电动工具的选购、使用、检查和维修必须遵守下列规定：</w:t>
            </w:r>
          </w:p>
          <w:p w:rsidR="00AC429D" w:rsidRPr="00AC429D" w:rsidRDefault="00AC429D" w:rsidP="00AC429D">
            <w:pPr>
              <w:rPr>
                <w:rFonts w:asciiTheme="minorEastAsia" w:hAnsiTheme="minorEastAsia"/>
              </w:rPr>
            </w:pPr>
            <w:r w:rsidRPr="00AC429D">
              <w:rPr>
                <w:rFonts w:asciiTheme="minorEastAsia" w:hAnsiTheme="minorEastAsia" w:hint="eastAsia"/>
              </w:rPr>
              <w:t>1）选购的电动建筑机械、手持电动工具和用电安全装置，符合相应的国家标准、专业标准和安全技术规程；并且有产品全格证和使用说明书；</w:t>
            </w:r>
          </w:p>
          <w:p w:rsidR="00AC429D" w:rsidRPr="00AC429D" w:rsidRDefault="00AC429D" w:rsidP="00AC429D">
            <w:pPr>
              <w:rPr>
                <w:rFonts w:asciiTheme="minorEastAsia" w:hAnsiTheme="minorEastAsia"/>
              </w:rPr>
            </w:pPr>
            <w:r w:rsidRPr="00AC429D">
              <w:rPr>
                <w:rFonts w:asciiTheme="minorEastAsia" w:hAnsiTheme="minorEastAsia" w:hint="eastAsia"/>
              </w:rPr>
              <w:t>2）建立和执行专人专机负责制，并定期检查和维修保养；</w:t>
            </w:r>
          </w:p>
          <w:p w:rsidR="00AC429D" w:rsidRPr="00AC429D" w:rsidRDefault="00AC429D" w:rsidP="00AC429D">
            <w:pPr>
              <w:rPr>
                <w:rFonts w:asciiTheme="minorEastAsia" w:hAnsiTheme="minorEastAsia"/>
              </w:rPr>
            </w:pPr>
            <w:r w:rsidRPr="00AC429D">
              <w:rPr>
                <w:rFonts w:asciiTheme="minorEastAsia" w:hAnsiTheme="minorEastAsia" w:hint="eastAsia"/>
              </w:rPr>
              <w:t>3）保护零线的电气连接应做保护接零，对产生振动的设备其保护零线的连接点不少于两处；</w:t>
            </w:r>
          </w:p>
          <w:p w:rsidR="00AC429D" w:rsidRPr="00AC429D" w:rsidRDefault="00AC429D" w:rsidP="00AC429D">
            <w:pPr>
              <w:rPr>
                <w:rFonts w:asciiTheme="minorEastAsia" w:hAnsiTheme="minorEastAsia"/>
              </w:rPr>
            </w:pPr>
            <w:r w:rsidRPr="00AC429D">
              <w:rPr>
                <w:rFonts w:asciiTheme="minorEastAsia" w:hAnsiTheme="minorEastAsia" w:hint="eastAsia"/>
              </w:rPr>
              <w:t>4）在做好保护接零的同时，还要根据电动机械的种类和使用场所条件等要求装设漏电保护器。</w:t>
            </w:r>
          </w:p>
          <w:p w:rsidR="00AC429D" w:rsidRPr="00AC429D" w:rsidRDefault="00AC429D" w:rsidP="00AC429D">
            <w:pPr>
              <w:rPr>
                <w:rFonts w:asciiTheme="minorEastAsia" w:hAnsiTheme="minorEastAsia"/>
              </w:rPr>
            </w:pPr>
            <w:r w:rsidRPr="00AC429D">
              <w:rPr>
                <w:rFonts w:asciiTheme="minorEastAsia" w:hAnsiTheme="minorEastAsia" w:hint="eastAsia"/>
              </w:rPr>
              <w:t>2．塔式起重机、室外电梯、滑升模板的金属操作平台需要设置避雷装置的井字架等，除应做好保护接零外，还必须按规定做重复接地。设备在金属结构架之间应保证电气连接。</w:t>
            </w:r>
          </w:p>
          <w:p w:rsidR="00AC429D" w:rsidRPr="00AC429D" w:rsidRDefault="00AC429D" w:rsidP="00AC429D">
            <w:pPr>
              <w:rPr>
                <w:rFonts w:asciiTheme="minorEastAsia" w:hAnsiTheme="minorEastAsia"/>
              </w:rPr>
            </w:pPr>
            <w:r w:rsidRPr="00AC429D">
              <w:rPr>
                <w:rFonts w:asciiTheme="minorEastAsia" w:hAnsiTheme="minorEastAsia" w:hint="eastAsia"/>
              </w:rPr>
              <w:t>3．手持电动工具中的Ⅱ类工具和Ⅲ类工具可不做保护接零。</w:t>
            </w:r>
          </w:p>
          <w:p w:rsidR="00AC429D" w:rsidRPr="00AC429D" w:rsidRDefault="00AC429D" w:rsidP="00AC429D">
            <w:pPr>
              <w:rPr>
                <w:rFonts w:asciiTheme="minorEastAsia" w:hAnsiTheme="minorEastAsia"/>
              </w:rPr>
            </w:pPr>
            <w:r w:rsidRPr="00AC429D">
              <w:rPr>
                <w:rFonts w:asciiTheme="minorEastAsia" w:hAnsiTheme="minorEastAsia" w:hint="eastAsia"/>
              </w:rPr>
              <w:t>4．电动建筑机构或手持电动工具的负荷线，必须按其容量选用无接头多股铜芯橡皮护套软电缆。其性能应符合国际GB1169-74《通用橡套软电缆》的要求。其中绿/黄双色线在任何情况下只能用作保护零线或重复接地线。</w:t>
            </w:r>
          </w:p>
          <w:p w:rsidR="00AC429D" w:rsidRDefault="00AC429D" w:rsidP="00AC429D">
            <w:pPr>
              <w:rPr>
                <w:rFonts w:asciiTheme="minorEastAsia" w:hAnsiTheme="minorEastAsia"/>
              </w:rPr>
            </w:pPr>
            <w:r w:rsidRPr="00AC429D">
              <w:rPr>
                <w:rFonts w:asciiTheme="minorEastAsia" w:hAnsiTheme="minorEastAsia" w:hint="eastAsia"/>
              </w:rPr>
              <w:t>5．每一台电动建筑机械或手持电动工具的开关箱内，除应装设过负荷、短路、漏电保护装置外，开关箱内的开关电器必须在任何情况下都可以使用电设备实行电源隔离。</w:t>
            </w:r>
          </w:p>
          <w:p w:rsidR="00F453C6" w:rsidRDefault="00AC429D" w:rsidP="00AC429D">
            <w:pPr>
              <w:rPr>
                <w:rFonts w:asciiTheme="minorEastAsia" w:hAnsiTheme="minorEastAsia"/>
              </w:rPr>
            </w:pPr>
            <w:r>
              <w:rPr>
                <w:rFonts w:asciiTheme="minorEastAsia" w:hAnsiTheme="minorEastAsia" w:hint="eastAsia"/>
              </w:rPr>
              <w:t>6</w:t>
            </w:r>
            <w:r w:rsidR="00F453C6">
              <w:rPr>
                <w:rFonts w:asciiTheme="minorEastAsia" w:hAnsiTheme="minorEastAsia" w:hint="eastAsia"/>
              </w:rPr>
              <w:t>.未尽事宜，遵守相关规范规定及项目部的各种规章管理制度。</w:t>
            </w:r>
          </w:p>
          <w:p w:rsidR="00F453C6" w:rsidRPr="00C54668" w:rsidRDefault="00F453C6" w:rsidP="00F453C6">
            <w:pPr>
              <w:rPr>
                <w:rFonts w:asciiTheme="minorEastAsia" w:hAnsiTheme="minorEastAsia"/>
              </w:rPr>
            </w:pPr>
          </w:p>
        </w:tc>
      </w:tr>
      <w:tr w:rsidR="00B60B11" w:rsidRPr="00C54668" w:rsidTr="00D02BF2">
        <w:trPr>
          <w:trHeight w:val="792"/>
        </w:trPr>
        <w:tc>
          <w:tcPr>
            <w:tcW w:w="1560" w:type="dxa"/>
          </w:tcPr>
          <w:p w:rsidR="00B60B11" w:rsidRPr="00C54668" w:rsidRDefault="00B60B11" w:rsidP="00D02BF2">
            <w:pPr>
              <w:jc w:val="center"/>
              <w:rPr>
                <w:rFonts w:asciiTheme="minorEastAsia" w:hAnsiTheme="minorEastAsia"/>
              </w:rPr>
            </w:pPr>
            <w:r w:rsidRPr="00C54668">
              <w:rPr>
                <w:rFonts w:asciiTheme="minorEastAsia" w:hAnsiTheme="minorEastAsia" w:hint="eastAsia"/>
              </w:rPr>
              <w:t>交底人</w:t>
            </w:r>
          </w:p>
          <w:p w:rsidR="00B60B11" w:rsidRPr="00C54668" w:rsidRDefault="00B60B11" w:rsidP="00D02BF2">
            <w:pPr>
              <w:jc w:val="center"/>
              <w:rPr>
                <w:rFonts w:asciiTheme="minorEastAsia" w:hAnsiTheme="minorEastAsia"/>
              </w:rPr>
            </w:pPr>
            <w:r w:rsidRPr="00C54668">
              <w:rPr>
                <w:rFonts w:asciiTheme="minorEastAsia" w:hAnsiTheme="minorEastAsia" w:hint="eastAsia"/>
              </w:rPr>
              <w:t>（技术员）</w:t>
            </w:r>
          </w:p>
          <w:p w:rsidR="00B60B11" w:rsidRPr="00C54668" w:rsidRDefault="00B60B11" w:rsidP="00D02BF2">
            <w:pPr>
              <w:jc w:val="center"/>
              <w:rPr>
                <w:rFonts w:asciiTheme="minorEastAsia" w:hAnsiTheme="minorEastAsia"/>
              </w:rPr>
            </w:pPr>
            <w:r w:rsidRPr="00C54668">
              <w:rPr>
                <w:rFonts w:asciiTheme="minorEastAsia" w:hAnsiTheme="minorEastAsia" w:hint="eastAsia"/>
              </w:rPr>
              <w:t>签字</w:t>
            </w:r>
          </w:p>
        </w:tc>
        <w:tc>
          <w:tcPr>
            <w:tcW w:w="2268" w:type="dxa"/>
            <w:gridSpan w:val="2"/>
          </w:tcPr>
          <w:p w:rsidR="00B60B11" w:rsidRPr="00C54668" w:rsidRDefault="00B60B11" w:rsidP="00D02BF2">
            <w:pPr>
              <w:spacing w:line="360" w:lineRule="auto"/>
              <w:rPr>
                <w:rFonts w:asciiTheme="minorEastAsia" w:hAnsiTheme="minorEastAsia"/>
              </w:rPr>
            </w:pPr>
          </w:p>
        </w:tc>
        <w:tc>
          <w:tcPr>
            <w:tcW w:w="1559" w:type="dxa"/>
            <w:gridSpan w:val="2"/>
          </w:tcPr>
          <w:p w:rsidR="00B60B11" w:rsidRPr="00C54668" w:rsidRDefault="00B60B11" w:rsidP="00D02BF2">
            <w:pPr>
              <w:spacing w:line="720" w:lineRule="auto"/>
              <w:jc w:val="center"/>
              <w:rPr>
                <w:rFonts w:asciiTheme="minorEastAsia" w:hAnsiTheme="minorEastAsia"/>
              </w:rPr>
            </w:pPr>
            <w:r w:rsidRPr="00C54668">
              <w:rPr>
                <w:rFonts w:asciiTheme="minorEastAsia" w:hAnsiTheme="minorEastAsia" w:hint="eastAsia"/>
              </w:rPr>
              <w:t>接收人签字</w:t>
            </w:r>
          </w:p>
        </w:tc>
        <w:tc>
          <w:tcPr>
            <w:tcW w:w="4111" w:type="dxa"/>
            <w:gridSpan w:val="2"/>
          </w:tcPr>
          <w:p w:rsidR="00B60B11" w:rsidRPr="00C54668" w:rsidRDefault="00B60B11" w:rsidP="00D02BF2">
            <w:pPr>
              <w:spacing w:line="360" w:lineRule="auto"/>
              <w:rPr>
                <w:rFonts w:asciiTheme="minorEastAsia" w:hAnsiTheme="minorEastAsia"/>
              </w:rPr>
            </w:pPr>
          </w:p>
        </w:tc>
      </w:tr>
      <w:tr w:rsidR="00B60B11" w:rsidRPr="00C54668" w:rsidTr="00D02BF2">
        <w:trPr>
          <w:trHeight w:val="612"/>
        </w:trPr>
        <w:tc>
          <w:tcPr>
            <w:tcW w:w="1560" w:type="dxa"/>
          </w:tcPr>
          <w:p w:rsidR="00B60B11" w:rsidRPr="00C54668" w:rsidRDefault="00B60B11" w:rsidP="00D02BF2">
            <w:pPr>
              <w:spacing w:line="480" w:lineRule="auto"/>
              <w:jc w:val="center"/>
              <w:rPr>
                <w:rFonts w:asciiTheme="minorEastAsia" w:hAnsiTheme="minorEastAsia"/>
              </w:rPr>
            </w:pPr>
            <w:r w:rsidRPr="00C54668">
              <w:rPr>
                <w:rFonts w:asciiTheme="minorEastAsia" w:hAnsiTheme="minorEastAsia" w:hint="eastAsia"/>
              </w:rPr>
              <w:t>交底日期</w:t>
            </w:r>
          </w:p>
        </w:tc>
        <w:tc>
          <w:tcPr>
            <w:tcW w:w="7938" w:type="dxa"/>
            <w:gridSpan w:val="6"/>
          </w:tcPr>
          <w:p w:rsidR="00B60B11" w:rsidRPr="00C54668" w:rsidRDefault="00B60B11" w:rsidP="00D02BF2">
            <w:pPr>
              <w:spacing w:line="480" w:lineRule="auto"/>
              <w:rPr>
                <w:rFonts w:asciiTheme="minorEastAsia" w:hAnsiTheme="minorEastAsia"/>
              </w:rPr>
            </w:pPr>
            <w:r w:rsidRPr="00C54668">
              <w:rPr>
                <w:rFonts w:asciiTheme="minorEastAsia" w:hAnsiTheme="minorEastAsia" w:hint="eastAsia"/>
              </w:rPr>
              <w:t xml:space="preserve">                                                       2014年2月2日</w:t>
            </w:r>
          </w:p>
        </w:tc>
      </w:tr>
    </w:tbl>
    <w:p w:rsidR="00F453C6" w:rsidRPr="00B60B11" w:rsidRDefault="00B60B11" w:rsidP="00F453C6">
      <w:pPr>
        <w:ind w:left="315" w:hangingChars="150" w:hanging="315"/>
        <w:rPr>
          <w:rFonts w:asciiTheme="minorEastAsia" w:hAnsiTheme="minorEastAsia"/>
        </w:rPr>
      </w:pPr>
      <w:r w:rsidRPr="00C54668">
        <w:rPr>
          <w:rFonts w:asciiTheme="minorEastAsia" w:hAnsiTheme="minorEastAsia" w:hint="eastAsia"/>
        </w:rPr>
        <w:t>注：交底一式两份，交底人、接收人各一份。</w:t>
      </w:r>
    </w:p>
    <w:sectPr w:rsidR="00F453C6" w:rsidRPr="00B60B11" w:rsidSect="00494D7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1EF" w:rsidRDefault="00CA01EF" w:rsidP="005533E8">
      <w:r>
        <w:separator/>
      </w:r>
    </w:p>
  </w:endnote>
  <w:endnote w:type="continuationSeparator" w:id="1">
    <w:p w:rsidR="00CA01EF" w:rsidRDefault="00CA01EF" w:rsidP="00553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1EF" w:rsidRDefault="00CA01EF" w:rsidP="005533E8">
      <w:r>
        <w:separator/>
      </w:r>
    </w:p>
  </w:footnote>
  <w:footnote w:type="continuationSeparator" w:id="1">
    <w:p w:rsidR="00CA01EF" w:rsidRDefault="00CA01EF" w:rsidP="00553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8474" o:spid="_x0000_s33794" type="#_x0000_t136" style="position:absolute;left:0;text-align:left;margin-left:0;margin-top:0;width:551pt;height:34.4pt;rotation:315;z-index:-251654144;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8475" o:spid="_x0000_s33795" type="#_x0000_t136" style="position:absolute;left:0;text-align:left;margin-left:0;margin-top:0;width:551pt;height:34.4pt;rotation:315;z-index:-251652096;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81" w:rsidRDefault="0064038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8473" o:spid="_x0000_s33793" type="#_x0000_t136" style="position:absolute;left:0;text-align:left;margin-left:0;margin-top:0;width:551pt;height:34.4pt;rotation:315;z-index:-251656192;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DYQp1mqXJqxKV+qlr58BMVExm0c=" w:salt="x7hVZi9rNA+S3gpSwTD/VQ=="/>
  <w:defaultTabStop w:val="0"/>
  <w:drawingGridVerticalSpacing w:val="156"/>
  <w:displayHorizontalDrawingGridEvery w:val="0"/>
  <w:displayVerticalDrawingGridEvery w:val="2"/>
  <w:characterSpacingControl w:val="compressPunctuation"/>
  <w:hdrShapeDefaults>
    <o:shapedefaults v:ext="edit" spidmax="34818"/>
    <o:shapelayout v:ext="edit">
      <o:idmap v:ext="edit" data="3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8BA"/>
    <w:rsid w:val="00022D69"/>
    <w:rsid w:val="00086798"/>
    <w:rsid w:val="000C275D"/>
    <w:rsid w:val="000C365A"/>
    <w:rsid w:val="002042E0"/>
    <w:rsid w:val="00324BB0"/>
    <w:rsid w:val="003373FA"/>
    <w:rsid w:val="003B7B81"/>
    <w:rsid w:val="00437195"/>
    <w:rsid w:val="004514E4"/>
    <w:rsid w:val="00494D7C"/>
    <w:rsid w:val="00545A9B"/>
    <w:rsid w:val="005533E8"/>
    <w:rsid w:val="005A4DAB"/>
    <w:rsid w:val="005A7AA1"/>
    <w:rsid w:val="005C32A1"/>
    <w:rsid w:val="00603A94"/>
    <w:rsid w:val="00622CCD"/>
    <w:rsid w:val="00640381"/>
    <w:rsid w:val="00671D07"/>
    <w:rsid w:val="00847E10"/>
    <w:rsid w:val="00963989"/>
    <w:rsid w:val="00966804"/>
    <w:rsid w:val="0099734C"/>
    <w:rsid w:val="009B7E50"/>
    <w:rsid w:val="00A258FD"/>
    <w:rsid w:val="00AC429D"/>
    <w:rsid w:val="00B02AE6"/>
    <w:rsid w:val="00B46B9D"/>
    <w:rsid w:val="00B60B11"/>
    <w:rsid w:val="00C54668"/>
    <w:rsid w:val="00C8215E"/>
    <w:rsid w:val="00C938BA"/>
    <w:rsid w:val="00CA01EF"/>
    <w:rsid w:val="00D24C1A"/>
    <w:rsid w:val="00F21ECA"/>
    <w:rsid w:val="00F453C6"/>
    <w:rsid w:val="00F60260"/>
    <w:rsid w:val="00FD3903"/>
    <w:rsid w:val="00FD3D83"/>
    <w:rsid w:val="00FF5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53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533E8"/>
    <w:rPr>
      <w:sz w:val="18"/>
      <w:szCs w:val="18"/>
    </w:rPr>
  </w:style>
  <w:style w:type="paragraph" w:styleId="a5">
    <w:name w:val="footer"/>
    <w:basedOn w:val="a"/>
    <w:link w:val="Char0"/>
    <w:uiPriority w:val="99"/>
    <w:semiHidden/>
    <w:unhideWhenUsed/>
    <w:rsid w:val="005533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533E8"/>
    <w:rPr>
      <w:sz w:val="18"/>
      <w:szCs w:val="18"/>
    </w:rPr>
  </w:style>
</w:styles>
</file>

<file path=word/webSettings.xml><?xml version="1.0" encoding="utf-8"?>
<w:webSettings xmlns:r="http://schemas.openxmlformats.org/officeDocument/2006/relationships" xmlns:w="http://schemas.openxmlformats.org/wordprocessingml/2006/main">
  <w:divs>
    <w:div w:id="10412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110</Words>
  <Characters>633</Characters>
  <Application>Microsoft Office Word</Application>
  <DocSecurity>8</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jiahui</cp:lastModifiedBy>
  <cp:revision>15</cp:revision>
  <cp:lastPrinted>2015-05-10T06:24:00Z</cp:lastPrinted>
  <dcterms:created xsi:type="dcterms:W3CDTF">2015-05-06T03:25:00Z</dcterms:created>
  <dcterms:modified xsi:type="dcterms:W3CDTF">2016-05-09T02:59:00Z</dcterms:modified>
</cp:coreProperties>
</file>